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Ulricehamn kommunfullmäktige</w:t>
      </w:r>
    </w:p>
    <w:p>
      <w:pPr>
        <w:pStyle w:val="Heading1"/>
      </w:pPr>
      <w:r>
        <w:t xml:space="preserve">Fler kommunala hyresrätter i Ulricehamn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Ulricehamn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Ulricehamn har bostadsbrist enligt Boverkets lägesrapport 2023. Hyresrätter utgör endast 18 % av bostadsbeståndet. Unga och nyanlända har svårt att etablera sig. Kommunala bostadsbolag kan bygga långsiktigt utan vinstkrav.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Ulricehamn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Ulricehamnsbostäder i uppdrag att påbörja planering för minst 150 nya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i budget 2027 för markförvärv och projektering av kommunala hyresrätter.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inga kommunala bostadstomter ska säljas utan att minst 50 % reserveras för hyresrättsproduktion.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rapport om hyresrättsbyggande och kötider till fullmäktige.</w:t>
      </w:r>
    </w:p>
    <w:p>
      <w:pPr>
        <w:spacing w:before="360"/>
      </w:pPr>
    </w:p>
    <w:p>
      <w:r>
        <w:t xml:space="preserve">Ulricehamn,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Ulricehamn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2026-07-14T01:46:30.840Z</dcterms:created>
  <dcterms:modified xsi:type="dcterms:W3CDTF">2026-07-14T01:46:30.840Z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