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Tanum kommunfullmäktige</w:t>
      </w:r>
    </w:p>
    <w:p>
      <w:pPr>
        <w:pStyle w:val="Heading1"/>
      </w:pPr>
      <w:r>
        <w:t xml:space="preserve">Kultur- och fritidsaktiviteter för barn och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Tanum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Barn och unga i Tanums glesbygd har begränsad tillgång till kultur och idrott. Enligt kommunens kulturplan 2022 når endast 35 procent av ungdomarna kommunala fritidsaktiviteter. Fria aktiviteter motverkar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Tanum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kostnadsfria kulturkort för alla barn 7–15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1 miljon kronor avsätts årligen för gratis idrotts- och kulturaktiviteter i Tanumshede, Grebbestad och Fjällbacka.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ska ske i kommunal regi eller via ideella föreningar med kommunalt 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utvärdering av deltagande redovisas till kulturnämnden.</w:t>
      </w:r>
    </w:p>
    <w:p>
      <w:pPr>
        <w:spacing w:before="360"/>
      </w:pPr>
    </w:p>
    <w:p>
      <w:r>
        <w:t xml:space="preserve">Tanum,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Tanum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2026-07-14T01:35:51.548Z</dcterms:created>
  <dcterms:modified xsi:type="dcterms:W3CDTF">2026-07-14T01:35:51.548Z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