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Öckerö kommunfullmäktige</w:t>
      </w:r>
    </w:p>
    <w:p>
      <w:pPr>
        <w:pStyle w:val="Heading1"/>
      </w:pPr>
      <w:r>
        <w:t xml:space="preserve">Fler kommunala hyresrätter på öarna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Öckerö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Öckerö har en akut bostadsbrist enligt Boverkets lägesrapport 2024. Många unga tvingas flytta från öarna. Kommunen har under alliansstyret prioriterat äganderätter framför hyresrätter vilket förvärrar segregationen.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Öckerö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Öckerö kommun ska påbörja planering för minst 150 nya kommunalt ägda hyresrätter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yngre och låginkomsttagare vid fördelning av nya hyreslägenheter.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medel i budget 2027 för markförvärv och projektering av hyresbostäder.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stoppa försäljning av kommunal mark till privata bostadsutvecklare utan krav på hyresrätter.</w:t>
      </w:r>
    </w:p>
    <w:p>
      <w:pPr>
        <w:spacing w:before="360"/>
      </w:pPr>
    </w:p>
    <w:p>
      <w:r>
        <w:t xml:space="preserve">Öckerö,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Öckerö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2026-07-14T02:09:23.046Z</dcterms:created>
  <dcterms:modified xsi:type="dcterms:W3CDTF">2026-07-14T02:09:23.046Z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