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Munkedal kommunfullmäktige</w:t>
      </w:r>
    </w:p>
    <w:p>
      <w:pPr>
        <w:pStyle w:val="Heading1"/>
      </w:pPr>
      <w:r>
        <w:t xml:space="preserve">Fler fast anställda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Munkedal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Munkedals hemtjänst har 42 % timanställda enligt Kolada 2024, vilket leder till otrygghet för både brukare och personal. Kommunen har lägre andel tillsvidareanställda än genomsnittet i Västra Götaland. Fasta jobb ger bättre kontinuitet och högre kvalitet i omsorgen.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Munkedal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öka antalet tillsvidareanställda inom hemtjänsten med minst 15 heltidstjänster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en bemanningsnorm på högst 8 brukare per heltidsanställd.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4,5 miljoner kronor i budget 2027 för kompetensutveckling och löneökningar.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personalstatistik kvartalsvis till socialnämnden.</w:t>
      </w:r>
    </w:p>
    <w:p>
      <w:pPr>
        <w:spacing w:before="360"/>
      </w:pPr>
    </w:p>
    <w:p>
      <w:r>
        <w:t xml:space="preserve">Munkedal,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Munkedal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2026-07-14T00:55:54.675Z</dcterms:created>
  <dcterms:modified xsi:type="dcterms:W3CDTF">2026-07-14T00:55:54.675Z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