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Lidköping kommunfullmäktige</w:t>
      </w:r>
    </w:p>
    <w:p>
      <w:pPr>
        <w:pStyle w:val="Heading1"/>
      </w:pPr>
      <w:r>
        <w:t xml:space="preserve">Ökad insyn i kommunala bolag och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Lidköping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bolag som AB Lidköpingshem och Lidköping Energi hanterar stora upphandlingar med begränsad öppenhet.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Lidköping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 ska publicera upphandlingsunderlag öppet på webben.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krav på sociala klausuler vid upphandlingar över 500 000 kr.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tillsätta en oberoende granskningsgrupp för bolagens ekonomi.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bolagens vinster och utdelningar årligen.</w:t>
      </w:r>
    </w:p>
    <w:p>
      <w:pPr>
        <w:spacing w:before="360"/>
      </w:pPr>
    </w:p>
    <w:p>
      <w:r>
        <w:t xml:space="preserve">Lidköping,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Lidköping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2026-07-14T00:42:30.389Z</dcterms:created>
  <dcterms:modified xsi:type="dcterms:W3CDTF">2026-07-14T00:42:30.389Z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