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Herrljunga kommunfullmäktige</w:t>
      </w:r>
    </w:p>
    <w:p>
      <w:pPr>
        <w:pStyle w:val="Heading1"/>
      </w:pPr>
      <w:r>
        <w:t xml:space="preserve">Ungdomsgård i centralorten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Herrljunga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Brå-rapport 2024 pekar på ökad oro bland ungdomar i Herrljunga tätort på grund av brist på meningsfulla aktiviteter. En kommunal ungdomsgård kan förebygga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Herrljunga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kommunal ungdomsgård i Herrljunga centrum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800 000 kr årligen för drift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ungdomar ska vara delaktiga i utformning och verksamhet.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föreningslivet för aktiviteter.</w:t>
      </w:r>
    </w:p>
    <w:p>
      <w:pPr>
        <w:spacing w:before="360"/>
      </w:pPr>
    </w:p>
    <w:p>
      <w:r>
        <w:t xml:space="preserve">Herrljunga,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Herrljunga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2026-07-14T00:14:02.138Z</dcterms:created>
  <dcterms:modified xsi:type="dcterms:W3CDTF">2026-07-14T00:14:02.138Z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