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Herrljunga kommunfullmäktige</w:t>
      </w:r>
    </w:p>
    <w:p>
      <w:pPr>
        <w:pStyle w:val="Heading1"/>
      </w:pPr>
      <w:r>
        <w:t xml:space="preserve">Fasta anställningar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Herrljunga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Herrljungas hemtjänst har 38 % timanställda enligt kommunens personalrapport 2024, vilket leder till otrygghet för både brukare och personal. Fast anställning är en förutsättning för kontinuitet i vården.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Herrljunga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omvandla minst 20 timanställningar till fasta tjänster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heltidsnorm inom hemtjänsten.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medel för kompetensutveckling av befintlig personal.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inte privatisera någon del av hemtjänsten under mandatperioden.</w:t>
      </w:r>
    </w:p>
    <w:p>
      <w:pPr>
        <w:spacing w:before="360"/>
      </w:pPr>
    </w:p>
    <w:p>
      <w:r>
        <w:t xml:space="preserve">Herrljunga,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Herrljunga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2026-07-14T00:14:02.124Z</dcterms:created>
  <dcterms:modified xsi:type="dcterms:W3CDTF">2026-07-14T00:14:02.124Z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