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Gullspång kommunfullmäktige</w:t>
      </w:r>
    </w:p>
    <w:p>
      <w:pPr>
        <w:pStyle w:val="Heading1"/>
      </w:pPr>
      <w:r>
        <w:t xml:space="preserve">Fler fast anställda inom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Gullspång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Gullspångs hemtjänst har 38 % timanställda enligt kommunens kvalitetsrapport 2024. Detta leder till otrygghet för brukare och hög sjukfrånvaro. Kolada visar att Gullspång ligger 15 % över länsgenomsnittet i personalomsättning. Fast anställda ger kontinuitet och bättre arbetsmiljö.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Gullspång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andelen tillsvidareanställda inom hemtjänsten till minst 75 %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1,2 miljoner kronor årligen för att omvandla timanställningar till fasta 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en årlig uppföljning av personalomsättning och brukarnöjdhet i socialnämnden.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erbjuda heltidsanställningar som norm inom hemtjänsten.</w:t>
      </w:r>
    </w:p>
    <w:p>
      <w:pPr>
        <w:spacing w:before="360"/>
      </w:pPr>
    </w:p>
    <w:p>
      <w:r>
        <w:t xml:space="preserve">Gullspång,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Gullspång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2026-07-14T00:04:13.324Z</dcterms:created>
  <dcterms:modified xsi:type="dcterms:W3CDTF">2026-07-14T00:04:13.324Z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