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Grästorp kommunfullmäktige</w:t>
      </w:r>
    </w:p>
    <w:p>
      <w:pPr>
        <w:pStyle w:val="Heading1"/>
      </w:pPr>
      <w:r>
        <w:t xml:space="preserve">Öppna ungdomsgård i centralorten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Grästorp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2023 visar att unga i Grästorp saknar mötesplatser utanför skolan. Ungdomar hänvisas till digitala miljöer eller att resa till Vänersborg. En kommunal ungdomsgård kan stärka trygghet och förebygga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Grästorp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en kommunal ungdomsgård i Grästorp tätort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800 000 kronor årligen för drift av ungdomsgården.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ungdomsgården ska ha öppet minst fyra kvällar i veckan.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ungdomar ska ges inflytande över verksamheten.</w:t>
      </w:r>
    </w:p>
    <w:p>
      <w:pPr>
        <w:spacing w:before="360"/>
      </w:pPr>
    </w:p>
    <w:p>
      <w:r>
        <w:t xml:space="preserve">Grästorp,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Grästorp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2026-07-14T00:03:42.210Z</dcterms:created>
  <dcterms:modified xsi:type="dcterms:W3CDTF">2026-07-14T00:03:42.210Z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