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Grästorp kommunfullmäktige</w:t>
      </w:r>
    </w:p>
    <w:p>
      <w:pPr>
        <w:pStyle w:val="Heading1"/>
      </w:pPr>
      <w:r>
        <w:t xml:space="preserve">Fossilfri skolskjuts senast 2028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Grästorp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Skolskjutsen i Grästorp körs idag med dieselfordon enligt Västtrafiks upphandling. Kommunen har möjlighet att ställa krav på fossilfria alternativ vid nästa upphandling 2027. Detta bidrar till klimatmål och renare luft för barn.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Grästorp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skolskjutsen ska vara fossilfri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ställa krav på el- eller biogasfordon i nästa upphandling av skolskjuts.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medel för laddinfrastruktur vid 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utsläpp från skolskjutsen årligen.</w:t>
      </w:r>
    </w:p>
    <w:p>
      <w:pPr>
        <w:spacing w:before="360"/>
      </w:pPr>
    </w:p>
    <w:p>
      <w:r>
        <w:t xml:space="preserve">Grästorp,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Grästorp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2026-07-14T00:03:42.204Z</dcterms:created>
  <dcterms:modified xsi:type="dcterms:W3CDTF">2026-07-14T00:03:42.204Z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