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Götene kommunfullmäktige</w:t>
      </w:r>
    </w:p>
    <w:p>
      <w:pPr>
        <w:pStyle w:val="Heading1"/>
      </w:pPr>
      <w:r>
        <w:t xml:space="preserve">Rättvis upphandling utan lönedumpning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Götene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upphandlingar har tidigare tillåtit låga löner hos underleverantörer. Svenskt Näringslivs ranking visar att Götene kan förbättra villkoren för anställda i upphandlad verksamhet. Krav på kollektivavtal skyddar arbetstagare.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Götene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krav på kollektivavtal ska gälla vid alla kommunala upphandlingar över 500 000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sociala krav på lön och arbetsvillkor i upphandlingspolicy.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hur upphandlingar följer ILO:s kärnkonventioner.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 upphandlingsenheten i uppdrag att granska underleverantörer årligen.</w:t>
      </w:r>
    </w:p>
    <w:p>
      <w:pPr>
        <w:spacing w:before="360"/>
      </w:pPr>
    </w:p>
    <w:p>
      <w:r>
        <w:t xml:space="preserve">Götene,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Götene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2026-07-14T00:06:41.901Z</dcterms:created>
  <dcterms:modified xsi:type="dcterms:W3CDTF">2026-07-14T00:06:41.901Z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