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Götene kommunfullmäktige</w:t>
      </w:r>
    </w:p>
    <w:p>
      <w:pPr>
        <w:pStyle w:val="Heading1"/>
      </w:pPr>
      <w:r>
        <w:t xml:space="preserve">Öppna ungdomsgård i Götene centrum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Götene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Ungdomar i Götene saknar samlingslokaler enligt Ungdomsstyrelsen 2024. Trygghetsundersökningar visar att unga känner sig otrygga kvällstid. En kommunal ungdomsgård kan förebygga utanförskap och erbjuda meningsfulla aktiviteter.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Götene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öppna en kommunal ungdomsgård i Götene centrum senast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avsätta 1,5 miljoner kronor för lokaler och personal.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ungdomsgården ska drivas i kommunal regi med demokratiskt inflytande för unga.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samarbeta med föreningslivet för verksamhetens innehåll.</w:t>
      </w:r>
    </w:p>
    <w:p>
      <w:pPr>
        <w:spacing w:before="360"/>
      </w:pPr>
    </w:p>
    <w:p>
      <w:r>
        <w:t xml:space="preserve">Götene,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Götene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2026-07-14T00:06:41.877Z</dcterms:created>
  <dcterms:modified xsi:type="dcterms:W3CDTF">2026-07-14T00:06:41.877Z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