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Göteborg kommunfullmäktige</w:t>
      </w:r>
    </w:p>
    <w:p>
      <w:pPr>
        <w:pStyle w:val="Heading1"/>
      </w:pPr>
      <w:r>
        <w:t xml:space="preserve">Fler fast anställda i kommunal äldreomsorg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Göteborg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Socialstyrelsens öppna jämförelser 2025 visar hög personalomsättning i Göteborgs äldreomsorg. Många timvikarier leder till otrygghet för både brukare och personal. Kommunal regi ger bättre kontinuitet än privata utförare.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Göteborg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andelen fast anställda i äldreomsorgen till minst 85 procent inom tre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heltidsanställningar som norm i alla kommunala omsorgsverksamheter.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stoppa nya upphandlingar av privat driven äldreomsorg.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personalomsättning per utförare årligen.</w:t>
      </w:r>
    </w:p>
    <w:p>
      <w:pPr>
        <w:spacing w:before="360"/>
      </w:pPr>
    </w:p>
    <w:p>
      <w:r>
        <w:t xml:space="preserve">Göteborg,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Göteborg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2026-07-14T00:06:02.213Z</dcterms:created>
  <dcterms:modified xsi:type="dcterms:W3CDTF">2026-07-14T00:06:02.213Z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