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Falköping kommunfullmäktige</w:t>
      </w:r>
    </w:p>
    <w:p>
      <w:pPr>
        <w:pStyle w:val="Heading1"/>
      </w:pPr>
      <w:r>
        <w:t xml:space="preserve">Öppen upphandling och granskning av kommunala bolag i Falköping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Falköping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Falköpings kommun har flera bolag där insynen är begränsad. Öppen budget och granskning stärker demokratin och motverkar oegentligheter.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Falköping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alla upphandlingar över 500 000 kronor publiceras med fullständiga underlag på kommunens webbplats.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oberoende granskning av Falköpings kommunala bolags ägarstyrning genomförs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får en årlig rapport om bolagens lönsamhet, löner och utdelning.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riktlinjer för etisk upphandling antas som förbjuder bolag med koppling till skatteparadis.</w:t>
      </w:r>
    </w:p>
    <w:p>
      <w:pPr>
        <w:spacing w:before="360"/>
      </w:pPr>
    </w:p>
    <w:p>
      <w:r>
        <w:t xml:space="preserve">Falköping,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Falköping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2026-07-13T23:55:54.188Z</dcterms:created>
  <dcterms:modified xsi:type="dcterms:W3CDTF">2026-07-13T23:55:54.188Z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