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Dals-Ed kommunfullmäktige</w:t>
      </w:r>
    </w:p>
    <w:p>
      <w:pPr>
        <w:pStyle w:val="Heading1"/>
      </w:pPr>
      <w:r>
        <w:t xml:space="preserve">Bygg fler hyresrätter i kommunal regi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Dals-Ed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drabbar framför allt unga och nyanlända i Dals-Ed. Det kommunala bostadsbolaget Edshus har få nyproduktioner och privata aktörer bygger främst villor. Fler hyresrätter behövs för att motverka utflyttning.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Dals-Ed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Edshus i uppdrag att bygga minst 25 nya hyresrätter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rimliga hyror vid nyproduktion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bostäder för unga och nyanlända vid fördelning av nya hyresrätter.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3 miljoner kronor i investeringsbudget för kommunal bostadsproduktion.</w:t>
      </w:r>
    </w:p>
    <w:p>
      <w:pPr>
        <w:spacing w:before="360"/>
      </w:pPr>
    </w:p>
    <w:p>
      <w:r>
        <w:t xml:space="preserve">Dals-Ed,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Dals-Ed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2026-07-13T23:48:05.790Z</dcterms:created>
  <dcterms:modified xsi:type="dcterms:W3CDTF">2026-07-13T23:48:05.790Z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