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Bengtsfors kommunfullmäktige</w:t>
      </w:r>
    </w:p>
    <w:p>
      <w:pPr>
        <w:pStyle w:val="Heading1"/>
      </w:pPr>
      <w:r>
        <w:t xml:space="preserve">Öppna budgetprocessen för medborgarinflytande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Bengtsfors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Budgetarbetet sker i slutna rum. Medborgare och föreningar har liten insyn. Öppen budget ökar demokrati och förtroende för kommunen.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Bengtsfors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medborgardialoger inför varje budgetår.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budgetunderlag publiceras i lättläst form på kommunens webbplats.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öppen budgetdag anordnas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synpunkter från dialogerna redovisas i budgetpropositionen.</w:t>
      </w:r>
    </w:p>
    <w:p>
      <w:pPr>
        <w:spacing w:before="360"/>
      </w:pPr>
    </w:p>
    <w:p>
      <w:r>
        <w:t xml:space="preserve">Bengtsfors,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Bengtsfors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2026-07-13T23:39:02.024Z</dcterms:created>
  <dcterms:modified xsi:type="dcterms:W3CDTF">2026-07-13T23:39:02.024Z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