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Ale kommunfullmäktige</w:t>
      </w:r>
    </w:p>
    <w:p>
      <w:pPr>
        <w:pStyle w:val="Heading1"/>
      </w:pPr>
      <w:r>
        <w:t xml:space="preserve">Fler öppna ungdomsverksamheter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ökad oro bland unga i Ale. Få kommunala mötesplatser finns utanför skolan. Öppna verksamheter förebygger kriminalitet och ökar tryggheten.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minst två nya kommunala ungdomsgårdar, en i Alafors och en i Skepplanda,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vara avgiftsfri och öppen minst fyra kvällar i veckan.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två nya ungdomsarbetare anställs.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kultur- och fritidsnämnden redovisar deltagarantal och utvärdering årligen.</w:t>
      </w:r>
    </w:p>
    <w:p>
      <w:pPr>
        <w:spacing w:before="360"/>
      </w:pPr>
    </w:p>
    <w:p>
      <w:r>
        <w:t xml:space="preserve">Ale,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2026-07-13T23:29:38.391Z</dcterms:created>
  <dcterms:modified xsi:type="dcterms:W3CDTF">2026-07-13T23:29:38.391Z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