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Skinnskatteberg kommunfullmäktige</w:t>
      </w:r>
    </w:p>
    <w:p>
      <w:pPr>
        <w:pStyle w:val="Heading1"/>
      </w:pPr>
      <w:r>
        <w:t xml:space="preserve">Grön omställning av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Skinnskatteberg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fastigheter har hög energiförbrukning. En omställning skapar både klimatnytta och lokala jobb (Länsstyrelsen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Skinnskatteberg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plan för att göra alla kommunala fastigheter fossilfria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10 mnkr för energieffektivisering och solceller under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prioriterar lokala entreprenörer vid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uppföljning av energiförbrukningen.</w:t>
      </w:r>
    </w:p>
    <w:p>
      <w:pPr>
        <w:spacing w:before="360"/>
      </w:pPr>
    </w:p>
    <w:p>
      <w:r>
        <w:t xml:space="preserve">Skinnskatteberg,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Skinnskatteberg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2026-07-14T01:20:00.471Z</dcterms:created>
  <dcterms:modified xsi:type="dcterms:W3CDTF">2026-07-14T01:20:00.471Z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