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Skinnskatteberg kommunfullmäktige</w:t>
      </w:r>
    </w:p>
    <w:p>
      <w:pPr>
        <w:pStyle w:val="Heading1"/>
      </w:pPr>
      <w:r>
        <w:t xml:space="preserve">Fossilfri kollektivtrafik till Fagersta och Västerås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Skinnskatteberg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Befintlig busstrafik är otillräcklig och drivs delvis med fossila bränslen. Många invånare är beroende av bilen vilket motverkar klimatmålen (Region Västmanland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Skinnskatteberg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Västmanland inför elbussar på linjerna till Fagersta och Västerås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finansierar en utökad kvälls- och helgtrafik med 1,2 mnkr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initierar samtal med Region Västmanland om turtäthet minst varannan timme.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infartsparkeringar vid busshållplatserna.</w:t>
      </w:r>
    </w:p>
    <w:p>
      <w:pPr>
        <w:spacing w:before="360"/>
      </w:pPr>
    </w:p>
    <w:p>
      <w:r>
        <w:t xml:space="preserve">Skinnskatteberg,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Skinnskatteberg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2026-07-14T01:20:00.450Z</dcterms:created>
  <dcterms:modified xsi:type="dcterms:W3CDTF">2026-07-14T01:20:00.450Z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