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Fagersta kommunfullmäktige</w:t>
      </w:r>
    </w:p>
    <w:p>
      <w:pPr>
        <w:pStyle w:val="Heading1"/>
      </w:pPr>
      <w:r>
        <w:t xml:space="preserve">Fossilfri kollektivtrafik till 2030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Fagersta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Region Västmanlands trafikförsörjningsplan visar att busslinjerna i Fagersta har låg turtäthet och höga utsläpp. Kommunen kan påverka genom avtal med Västmanlands Lokaltrafik. Klimatstrategin 2023 saknar konkreta mål för kollektivtrafik.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Fagersta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verka för att all kollektivtrafik i Fagersta kommun är fossilfri senast 2030.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öka turtätheten på linjerna till industriområdena med minst 20 % från 2027.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avsätta 800 000 kronor för samfinansiering av elbussar.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årligen redovisa utsläppsminskning från kommunens kollektivtrafik.</w:t>
      </w:r>
    </w:p>
    <w:p>
      <w:pPr>
        <w:spacing w:before="360"/>
      </w:pPr>
    </w:p>
    <w:p>
      <w:r>
        <w:t xml:space="preserve">Fagersta,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Fagersta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2026-07-13T23:54:42.267Z</dcterms:created>
  <dcterms:modified xsi:type="dcterms:W3CDTF">2026-07-13T23:54:42.267Z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