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Sollefteå kommunfullmäktige</w:t>
      </w:r>
    </w:p>
    <w:p>
      <w:pPr>
        <w:pStyle w:val="Heading1"/>
      </w:pPr>
      <w:r>
        <w:t xml:space="preserve">Öppen redovisning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Sollefteå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Sollefteå kommun äger flera bolag där insynen är begränsad. Demokratisk ekonomi kräver öppenhet kring ekonomi och beslut i bolag som Solatum och Sollefteå Energi.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Sollefteå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 ska redovisa kvartalsrapporter offentligt.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bolagsstämmor ska vara öppna för allmänheten.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jämlikhets- och klimatanalys i bolagens verksamhetsplaner.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granska upphandlingar i bolagen för att motverka korruption.</w:t>
      </w:r>
    </w:p>
    <w:p>
      <w:pPr>
        <w:spacing w:before="360"/>
      </w:pPr>
    </w:p>
    <w:p>
      <w:r>
        <w:t xml:space="preserve">Sollefteå,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Sollefteå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2026-07-14T01:21:53.627Z</dcterms:created>
  <dcterms:modified xsi:type="dcterms:W3CDTF">2026-07-14T01:21:53.627Z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