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Ånge kommunfullmäktige</w:t>
      </w:r>
    </w:p>
    <w:p>
      <w:pPr>
        <w:pStyle w:val="Heading1"/>
      </w:pPr>
      <w:r>
        <w:t xml:space="preserve">Etablera kommunala ungdomsgårdar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att ungdomar i Ånge upplever otrygghet och brist på meningsfulla aktiviteter. Flera kommuner med liknande struktur har lyckats med öppna mötesplatser.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Ånge kommunfullmäktige beslutar att minst två kommunala ungdomsgårdar öppnas i Ånge och Fränsta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leds av kommunalt anställda fritidsledare.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föreningsliv och skola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verksamhetsrapport lämnas till kommunfullmäktige.</w:t>
      </w:r>
    </w:p>
    <w:p>
      <w:pPr>
        <w:spacing w:before="360"/>
      </w:pPr>
    </w:p>
    <w:p>
      <w:r>
        <w:t xml:space="preserve">Ånge,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2026-07-14T02:03:04.050Z</dcterms:created>
  <dcterms:modified xsi:type="dcterms:W3CDTF">2026-07-14T02:03:04.050Z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