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Vännäs kommunfullmäktige</w:t>
      </w:r>
    </w:p>
    <w:p>
      <w:pPr>
        <w:pStyle w:val="Heading1"/>
      </w:pPr>
      <w:r>
        <w:t xml:space="preserve">Kommunala investeringar för lokala jobb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Vännäs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Arbetslösheten bland unga är högre än länsgenomsnitt (Arbetsförmedlingen 2025). Kommunala investeringar i bygg och gröna projekt kan skapa jobb utan lönedumpning.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Vännäs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prioritera kommunala entreprenader som kräver kollektivavtal.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krav på minst 30 % lokalt anställda i större upphandlingar.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5 mnkr för gröna investeringsprojekt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sysselsättningseffekter i budgetuppföljningen.</w:t>
      </w:r>
    </w:p>
    <w:p>
      <w:pPr>
        <w:spacing w:before="360"/>
      </w:pPr>
    </w:p>
    <w:p>
      <w:r>
        <w:t xml:space="preserve">Vännäs,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Vännäs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2026-07-14T01:58:02.433Z</dcterms:created>
  <dcterms:modified xsi:type="dcterms:W3CDTF">2026-07-14T01:58:02.433Z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