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Vännäs kommunfullmäktige</w:t>
      </w:r>
    </w:p>
    <w:p>
      <w:pPr>
        <w:pStyle w:val="Heading1"/>
      </w:pPr>
      <w:r>
        <w:t xml:space="preserve">Bygg fler kommunala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Vännäs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 2023 visar bostadsbrist för unga och nyanlända i Vännäs. Kommunala bolaget Vännäs Fastigheter har lång kö. Fler hyresrätter i kommunal regi motverkar segregation och ger långsiktig kontroll över hyror.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Vännäs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Vännäs Fastigheter i uppdrag att påbörja byggnation av minst 40 nya hyresrätter under 2027–2028.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yngre och nyanlända i uthyrningspolicy.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hyresstopp för oskäliga höjningar i befintligt bestånd.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bostadskö och nyproduktion till kommunstyrelsen.</w:t>
      </w:r>
    </w:p>
    <w:p>
      <w:pPr>
        <w:spacing w:before="360"/>
      </w:pPr>
    </w:p>
    <w:p>
      <w:r>
        <w:t xml:space="preserve">Vännäs,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Vännäs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2026-07-14T01:58:02.407Z</dcterms:created>
  <dcterms:modified xsi:type="dcterms:W3CDTF">2026-07-14T01:58:02.407Z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