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Umeå kommunfullmäktige</w:t>
      </w:r>
    </w:p>
    <w:p>
      <w:pPr>
        <w:pStyle w:val="Heading1"/>
      </w:pPr>
      <w:r>
        <w:t xml:space="preserve">Öppen granskning av Umeås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Umeå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pekar på bristande insyn i bolag som Umeå Energi och Bostaden. Demokratisk ekonomi kräver öppenhet.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Umeå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Umeå kommunfullmäktige beslutar att alla kommunala bolags styrelseprotokoll ska publiceras öppet på webben.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Umeå kommunfullmäktige beslutar att införa årliga offentliga hearingar för de största bolagen.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Umeå kommunfullmäktige beslutar att granska upphandlingar för att motverka lönedumpning.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Umeå kommunfullmäktige beslutar att avsätta resurser för oberoende ekonomisk granskning.</w:t>
      </w:r>
    </w:p>
    <w:p>
      <w:pPr>
        <w:spacing w:before="360"/>
      </w:pPr>
    </w:p>
    <w:p>
      <w:r>
        <w:t xml:space="preserve">Umeå,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Umeå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2026-07-14T01:47:08.412Z</dcterms:created>
  <dcterms:modified xsi:type="dcterms:W3CDTF">2026-07-14T01:47:08.412Z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