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Storuman kommunfullmäktige</w:t>
      </w:r>
    </w:p>
    <w:p>
      <w:pPr>
        <w:pStyle w:val="Heading1"/>
      </w:pPr>
      <w:r>
        <w:t xml:space="preserve">Ungdomsgård och meningsfulla fritidsaktiviteter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Storuman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42 % av ungdomarna i Storuman upplever brist på fritidsaktiviteter. Psykisk ohälsa ökar bland unga enligt regionens folkhälsorapport.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Storuman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kommunal ungdomsgård i centralorten med öppettider minst fyra kvällar i veckan.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1,8 mnkr årligen för verksamhet och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kostnadsfria aktiviteter för ungdomar upp till 18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genomföra årlig brukarundersökning bland ungdomar.</w:t>
      </w:r>
    </w:p>
    <w:p>
      <w:pPr>
        <w:spacing w:before="360"/>
      </w:pPr>
    </w:p>
    <w:p>
      <w:r>
        <w:t xml:space="preserve">Storuman,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Storuman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2026-07-14T01:26:22.055Z</dcterms:created>
  <dcterms:modified xsi:type="dcterms:W3CDTF">2026-07-14T01:26:22.055Z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