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Skellefteå kommunfullmäktige</w:t>
      </w:r>
    </w:p>
    <w:p>
      <w:pPr>
        <w:pStyle w:val="Heading1"/>
      </w:pPr>
      <w:r>
        <w:t xml:space="preserve">Fler kommunala hyresrätter för att möta bostadsbristen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Skellefteå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Skellefteå växer kraftigt på grund av Northvolt och relaterad industri. Enligt kommunens bostadsförsörjningsprogram 2024 saknas minst 2 500 bostäder fram till 2030. Hyresrätter i kommunal regi är avgörande för att undvika segregation och höga hyror. Allmännyttan Skelleftebostäder har byggt för lite de senaste åren. En kommunal satsning skapar både bostäder och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Skellefteå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Skelleftebostäder i uppdrag att påbörja planering för minst 800 nya kommunala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50 miljoner kronor årligen i investeringsbudget för markförvärv och byggnation av hyresrätter.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hyresrätterna fördelas med särskilt fokus på områden med god tillgång till kollektivtrafik och service.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bostadsbyggandet lämnas till kommunfullmäktige.</w:t>
      </w:r>
    </w:p>
    <w:p>
      <w:pPr>
        <w:spacing w:before="360"/>
      </w:pPr>
    </w:p>
    <w:p>
      <w:r>
        <w:t xml:space="preserve">Skellefteå,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Skellefteå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2026-07-14T01:19:32.225Z</dcterms:created>
  <dcterms:modified xsi:type="dcterms:W3CDTF">2026-07-14T01:19:32.225Z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