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Robertsfors kommunfullmäktige</w:t>
      </w:r>
    </w:p>
    <w:p>
      <w:pPr>
        <w:pStyle w:val="Heading1"/>
      </w:pPr>
      <w:r>
        <w:t xml:space="preserve">Fossilfri kollektivtrafik i Robertsfors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Robertsfors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Kollektivtrafikens utsläpp ligger 28 procent över länsgenomsnittet enligt Trafikverket 2024. Landsbygdstrafiken är idag beroende av dieselbussar. En omställning skapar både klimatnytta och lokala jobb inom laddinfrastruktur.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Robertsfors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kommunal kollektivtrafik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teknisk nämnd får i uppdrag att installera laddstationer vid alla större hållplatser under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3 mnkr för investering i elbussar och laddinfrastruktur.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teknisk nämnd årligen redovisar andelen fossilfria fordonskilometer till kommunfullmäktige.</w:t>
      </w:r>
    </w:p>
    <w:p>
      <w:pPr>
        <w:spacing w:before="360"/>
      </w:pPr>
    </w:p>
    <w:p>
      <w:r>
        <w:t xml:space="preserve">Robertsfors,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Robertsfors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2026-07-14T01:13:46.274Z</dcterms:created>
  <dcterms:modified xsi:type="dcterms:W3CDTF">2026-07-14T01:13:46.274Z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