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Nordmaling kommunfullmäktige</w:t>
      </w:r>
    </w:p>
    <w:p>
      <w:pPr>
        <w:pStyle w:val="Heading1"/>
      </w:pPr>
      <w:r>
        <w:t xml:space="preserve">Kommunala investeringar i gröna 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Nordmaling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Arbetslösheten bland unga är 9,2 % (Arbetsförmedlingen 2025). Skogs- och besöksnäringen kan skapa lokala jobb. Kommunens klimatplan saknar konkreta investeringar.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Nordmaling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Nordmalings kommun startar ett kommunalt gröna-jobb-program med 10 nya tjänster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investeringar görs i skogsvård och besöksnäring via kommunala bolag.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etableras med Västerbottens läns skogsägareförening.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gröna jobb redovisas för fullmäktige.</w:t>
      </w:r>
    </w:p>
    <w:p>
      <w:pPr>
        <w:spacing w:before="360"/>
      </w:pPr>
    </w:p>
    <w:p>
      <w:r>
        <w:t xml:space="preserve">Nordmaling,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Nordmaling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2026-07-14T01:00:55.341Z</dcterms:created>
  <dcterms:modified xsi:type="dcterms:W3CDTF">2026-07-14T01:00:55.341Z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