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Nordmaling kommunfullmäktige</w:t>
      </w:r>
    </w:p>
    <w:p>
      <w:pPr>
        <w:pStyle w:val="Heading1"/>
      </w:pPr>
      <w:r>
        <w:t xml:space="preserve">Ungdomsgård i Rundvik och Lögdeå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Nordmaling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42 % av ungdomar i Nordmaling saknar meningsfull fritid. Endast en ungdomsgård finns i centralorten. Utanförskap ökar risk för kriminalitet.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Nordmaling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Nordmalings kommun öppnar ungdomsgårdar i Rundvik och Lögdeå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bemannas med minst två fritidsledare per gård.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är kostnadsfri och öppen minst fyra kvällar per vecka.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samverkansplan med skolan och socialtjänsten tas fram.</w:t>
      </w:r>
    </w:p>
    <w:p>
      <w:pPr>
        <w:spacing w:before="360"/>
      </w:pPr>
    </w:p>
    <w:p>
      <w:r>
        <w:t xml:space="preserve">Nordmaling,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Nordmaling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2026-07-14T01:00:55.320Z</dcterms:created>
  <dcterms:modified xsi:type="dcterms:W3CDTF">2026-07-14T01:00:55.320Z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