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Nordmaling kommunfullmäktige</w:t>
      </w:r>
    </w:p>
    <w:p>
      <w:pPr>
        <w:pStyle w:val="Heading1"/>
      </w:pPr>
      <w:r>
        <w:t xml:space="preserve">Bygg hyresrätter i Nordmaling tätort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Nordmaling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Boverkets bostadsmarknadsenkät 2023 visar underskott på 120 hyreslägenheter i Nordmaling. Ungdomar och nyanlända flyttar ut på grund av bostadsbrist. Kommunens egen plan visar att 40 nya hyresrätter behövs till 2028.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Nordmaling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Nordmalings kommun påskyndar byggandet av minst 40 nya hyresrätter via det kommunala bostadsbolaget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hyrorna hålls på nivå med genomsnittet i Västerbotten genom kommunal subvention.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minst 25 % av de nya lägenheterna reserveras för ungdomar och nyanlända.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bostadspolitisk handlingsplan antas av kommunfullmäktige under 2027.</w:t>
      </w:r>
    </w:p>
    <w:p>
      <w:pPr>
        <w:spacing w:before="360"/>
      </w:pPr>
    </w:p>
    <w:p>
      <w:r>
        <w:t xml:space="preserve">Nordmaling,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Nordmaling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2026-07-14T01:00:55.305Z</dcterms:created>
  <dcterms:modified xsi:type="dcterms:W3CDTF">2026-07-14T01:00:55.305Z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