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Bjurholm kommunfullmäktige</w:t>
      </w:r>
    </w:p>
    <w:p>
      <w:pPr>
        <w:pStyle w:val="Heading1"/>
      </w:pPr>
      <w:r>
        <w:t xml:space="preserve">Tillgänglighetsinventering av kommunala lokaler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Bjurholm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kommunala lokaler saknar full tillgänglighet enligt Boverkets krav. Funktionsrättsorganisationer har påpekat brister i Bjurholm 2024. Jämlikhet kräver att alla kan delta.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Bjurholm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en fullständig tillgänglighetsinventering görs av alla kommunala lokaler 2026.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åtgärdsplan med budget presenteras för fullmäktige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tillgänglighet alltid beaktas vid renovering och nybyggnation.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samråd sker med funktionsrättsrörelsen.</w:t>
      </w:r>
    </w:p>
    <w:p>
      <w:pPr>
        <w:spacing w:before="360"/>
      </w:pPr>
    </w:p>
    <w:p>
      <w:r>
        <w:t xml:space="preserve">Bjurholm,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Bjurholm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2026-07-13T23:40:13.487Z</dcterms:created>
  <dcterms:modified xsi:type="dcterms:W3CDTF">2026-07-13T23:40:13.487Z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