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Sunne kommunfullmäktige</w:t>
      </w:r>
    </w:p>
    <w:p>
      <w:pPr>
        <w:pStyle w:val="Heading1"/>
      </w:pPr>
      <w:r>
        <w:t xml:space="preserve">Fler ungdomsverksamheter i Sunne och Lysvik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Sunne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Brå:s trygghetsundersökning visar att unga i Sunne saknar meningsfulla fritidsaktiviteter. Detta ökar risken för utanförskap. Kommunala ungdomsgårdar behövs i både Sunne tätort och Lysvik.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Sunne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Sunne kommunfullmäktige beslutar att öppna minst två kommunala ungdomsgårdar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bemannas med utbildad personal och har öppet minst fyra kvällar i veckan.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samordnare för ungdomsfrågor anställs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årligen tillsammans med ungdomsrådet.</w:t>
      </w:r>
    </w:p>
    <w:p>
      <w:pPr>
        <w:spacing w:before="360"/>
      </w:pPr>
    </w:p>
    <w:p>
      <w:r>
        <w:t xml:space="preserve">Sunne,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Sunne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2026-07-14T01:29:28.337Z</dcterms:created>
  <dcterms:modified xsi:type="dcterms:W3CDTF">2026-07-14T01:29:28.337Z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