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Grums kommunfullmäktige</w:t>
      </w:r>
    </w:p>
    <w:p>
      <w:pPr>
        <w:pStyle w:val="Heading1"/>
      </w:pPr>
      <w:r>
        <w:t xml:space="preserve">Fossilfri kollektivtrafik till 2030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Grums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Värmlandstrafik trafikerar Grums med dieselbussar. Kommunens klimatstrategi saknar tydliga mål för kollektivtrafik. En omställning skapar lokala gröna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Grums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mål om fossilfri kollektivtrafik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Grums kommun kräver el- eller biogasbussar vid nästa avtalsperiod med Värmlandstrafik.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investering i laddinfrastruktur vid Grums resecentrum prioriteras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klimatrapport för kollektivtrafiken lämnas till fullmäktige.</w:t>
      </w:r>
    </w:p>
    <w:p>
      <w:pPr>
        <w:spacing w:before="360"/>
      </w:pPr>
    </w:p>
    <w:p>
      <w:r>
        <w:t xml:space="preserve">Grums,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Grums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2026-07-14T00:03:02.785Z</dcterms:created>
  <dcterms:modified xsi:type="dcterms:W3CDTF">2026-07-14T00:03:02.785Z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