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Eda kommunfullmäktige</w:t>
      </w:r>
    </w:p>
    <w:p>
      <w:pPr>
        <w:pStyle w:val="Heading1"/>
      </w:pPr>
      <w:r>
        <w:t xml:space="preserve">Ökad tillgänglighet i offentliga lokaler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Eda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kommunala lokaler saknar ramp och hörselslinga enligt kommunens egen tillgänglighetsinventering 2023.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Eda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antar en handlingsplan för att alla kommunala lokaler ska vara tillgängliga senast 2029.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2 mnkr avsätts för anpassningar under 2027–2028.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tillgänglighetsombudsman utses.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årlig uppföljning redovisas till kommunfullmäktige.</w:t>
      </w:r>
    </w:p>
    <w:p>
      <w:pPr>
        <w:spacing w:before="360"/>
      </w:pPr>
    </w:p>
    <w:p>
      <w:r>
        <w:t xml:space="preserve">Eda,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Eda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2026-07-13T23:50:09.671Z</dcterms:created>
  <dcterms:modified xsi:type="dcterms:W3CDTF">2026-07-13T23:50:09.671Z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