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Arvika kommunfullmäktige</w:t>
      </w:r>
    </w:p>
    <w:p>
      <w:pPr>
        <w:pStyle w:val="Heading1"/>
      </w:pPr>
      <w:r>
        <w:t xml:space="preserve">Ökad tillgänglighet i kommunala lokaler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Vänsterpartiet i Arvika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Funktionsrätt Arvika har påpekat brister i tillgänglighet i 35 % av kommunens lokaler (2024). Detta strider mot FN-konventionen om rättigheter för personer med funktionsnedsättning. Alla ska kunna delta i samhällslivet.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Vänsterpartiet i Arvika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Arvika kommunfullmäktige beslutar att genomföra en tillgänglighetsinventering av alla kommunala lokaler under 2027.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Arvika kommunfullmäktige beslutar att avsätta 5 mnkr för tillgänglighetsanpassningar 2027–2029.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Arvika kommunfullmäktige beslutar att prioritera hissar, ramper och hörselteknik i offentliga byggnader.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Arvika kommunfullmäktige beslutar att redovisa tillgänglighetsarbetet i årsredovisningen.</w:t>
      </w:r>
    </w:p>
    <w:p>
      <w:pPr>
        <w:spacing w:before="360"/>
      </w:pPr>
    </w:p>
    <w:p>
      <w:r>
        <w:t xml:space="preserve">Arvika,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Vänsterpartiet i Arvika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2026-07-13T23:34:23.427Z</dcterms:created>
  <dcterms:modified xsi:type="dcterms:W3CDTF">2026-07-13T23:34:23.427Z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