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Arvika kommunfullmäktige</w:t>
      </w:r>
    </w:p>
    <w:p>
      <w:pPr>
        <w:pStyle w:val="Heading1"/>
      </w:pPr>
      <w:r>
        <w:t xml:space="preserve">Fossilfri kollektivtrafik senast 2028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Arvika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62 % av kollektivtrafiken i Arvika är fossilfri (Region Värmland 2025). Kommunen har mål om fossilfrihet 2030 men takten är för långsam. Elektrifiering skapar lokala jobb och minskar utsläpp.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Arvika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Arvika kommunfullmäktige beslutar att verka för att all kollektivtrafik inom kommunen är fossilfri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Arvika kommunfullmäktige beslutar att investera i laddinfrastruktur vid alla större hållplatser.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Arvika kommunfullmäktige beslutar att prioritera elbussar vid nästa upphandling av busstrafik.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Arvika kommunfullmäktige beslutar att årligen redovisa andelen fossilfri kollektivtrafik till kommunstyrelsen.</w:t>
      </w:r>
    </w:p>
    <w:p>
      <w:pPr>
        <w:spacing w:before="360"/>
      </w:pPr>
    </w:p>
    <w:p>
      <w:r>
        <w:t xml:space="preserve">Arvika,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Arvika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2026-07-13T23:34:23.403Z</dcterms:created>
  <dcterms:modified xsi:type="dcterms:W3CDTF">2026-07-13T23:34:23.403Z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