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Årjäng kommunfullmäktige</w:t>
      </w:r>
    </w:p>
    <w:p>
      <w:pPr>
        <w:pStyle w:val="Heading1"/>
      </w:pPr>
      <w:r>
        <w:t xml:space="preserve">Förbättra tillgängligheten i offentliga lokaler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Årjäng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kommunala lokaler i Årjäng uppfyller inte dagens krav på tillgänglighet för personer med funktionsnedsättning enligt Boverkets regler.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Årjäng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genomföra en tillgänglighetsinventering av alla kommunala lokaler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2 miljoner kronor för nödvändiga anpassningar.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prioritera hissar och ramper i alla ny- och ombyggnader.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tillgänglighetsarbete årligen.</w:t>
      </w:r>
    </w:p>
    <w:p>
      <w:pPr>
        <w:spacing w:before="360"/>
      </w:pPr>
    </w:p>
    <w:p>
      <w:r>
        <w:t xml:space="preserve">Årjäng,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Årjäng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2026-07-14T02:04:15.703Z</dcterms:created>
  <dcterms:modified xsi:type="dcterms:W3CDTF">2026-07-14T02:04:15.703Z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