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Tierp kommunfullmäktige</w:t>
      </w:r>
    </w:p>
    <w:p>
      <w:pPr>
        <w:pStyle w:val="Heading1"/>
      </w:pPr>
      <w:r>
        <w:t xml:space="preserve">Mindre klasser och fler speciallärare i Tierps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Tierp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på 225 poäng enligt Kolada 2024, lägre än läns- och rikssnitt. Klasserna i Tierpskolan och Örbyhus skola överskrider ofta 25 elever. Fler speciallärare behövs för att stödja elever i 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Tierp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ska gälla i årskurs 1–9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8 nya speciallärartjänster inrättas i grundskolan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klassstorlekar redovisas i delårsrapporten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resurser för mindre klasser finansieras inom befintlig skolbudget genom omprioritering.</w:t>
      </w:r>
    </w:p>
    <w:p>
      <w:pPr>
        <w:spacing w:before="360"/>
      </w:pPr>
    </w:p>
    <w:p>
      <w:r>
        <w:t xml:space="preserve">Tierp,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Tierp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2026-07-14T01:37:34.430Z</dcterms:created>
  <dcterms:modified xsi:type="dcterms:W3CDTF">2026-07-14T01:37:34.430Z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