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Östhammar kommunfullmäktige</w:t>
      </w:r>
    </w:p>
    <w:p>
      <w:pPr>
        <w:pStyle w:val="Heading1"/>
      </w:pPr>
      <w:r>
        <w:t xml:space="preserve">Stopp för lönedumpning vid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Östhammar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 har vid flera tillfällen upphandlat tjänster där leverantörer erbjuder lägre löner än kollektivavtal (kommunens upphandlingsrapport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Östhammar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krav på kollektivavtalsenliga löner ska gälla vid alla upphandlingar över 500 000 kronor.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upphandlingsenheten i uppdrag att införa sociala krav i alla nya avtal.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årligen redovisar hur många upphandlingar som inkluderat kollektivavtalskrav.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utesluter leverantörer som bryter mot lönekrav från framtida upphandlingar.</w:t>
      </w:r>
    </w:p>
    <w:p>
      <w:pPr>
        <w:spacing w:before="360"/>
      </w:pPr>
    </w:p>
    <w:p>
      <w:r>
        <w:t xml:space="preserve">Östhammar,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Östhammar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2026-07-14T02:13:22.916Z</dcterms:created>
  <dcterms:modified xsi:type="dcterms:W3CDTF">2026-07-14T02:13:22.916Z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