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Knivsta kommunfullmäktige</w:t>
      </w:r>
    </w:p>
    <w:p>
      <w:pPr>
        <w:pStyle w:val="Heading1"/>
      </w:pPr>
      <w:r>
        <w:t xml:space="preserve">Öppen granskning av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Knivsta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Knivsta kommun äger flera bolag vars verksamhet påverkar välfärden. Transparens kring upphandlingar och vinster är låg. Demokratisk ekonomi kräver bättre insyn för medborgarna.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Knivsta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kommunala bolags styrelseprotokoll ska publiceras på kommunens webbplats.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årlig granskning av upphandlingar och leverantörer redovisas i fullmäktige.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vinstutdelning från kommunala bolag ska godkännas av fullmäktige.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medborgardialog om bolagens verksamhet genomförs minst en gång per år.</w:t>
      </w:r>
    </w:p>
    <w:p>
      <w:pPr>
        <w:spacing w:before="360"/>
      </w:pPr>
    </w:p>
    <w:p>
      <w:r>
        <w:t xml:space="preserve">Knivsta,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Knivsta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2026-07-14T00:32:13.631Z</dcterms:created>
  <dcterms:modified xsi:type="dcterms:W3CDTF">2026-07-14T00:32:13.631Z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