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Knivsta kommunfullmäktige</w:t>
      </w:r>
    </w:p>
    <w:p>
      <w:pPr>
        <w:pStyle w:val="Heading1"/>
      </w:pPr>
      <w:r>
        <w:t xml:space="preserve">Klimatkliv för fossilfri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Knivsta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Knivsta kommuns miljörapport 2025 visar att transporter står för 45 procent av utsläppen. Pendling med bil är fortsatt hög. För att nå fossilfrihet 2030 krävs investeringar i elbusar och laddinfrastruktur.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Knivsta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mål om fossilfri kollektivtrafik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begär att UL inför elbusar på linjer inom Knivsta från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laddstolpar för elbussar installeras vid Knivsta station och Alsike.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 redovisas till fullmäktige.</w:t>
      </w:r>
    </w:p>
    <w:p>
      <w:pPr>
        <w:spacing w:before="360"/>
      </w:pPr>
    </w:p>
    <w:p>
      <w:r>
        <w:t xml:space="preserve">Knivsta,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Knivsta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2026-07-14T00:32:13.617Z</dcterms:created>
  <dcterms:modified xsi:type="dcterms:W3CDTF">2026-07-14T00:32:13.617Z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