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Håbo kommunfullmäktige</w:t>
      </w:r>
    </w:p>
    <w:p>
      <w:pPr>
        <w:pStyle w:val="Heading1"/>
      </w:pPr>
      <w:r>
        <w:t xml:space="preserve">Mindre klasser och fler speciallärare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Håbo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Håbos grundskolor har i genomsnitt 24 elever per klass och meritvärdet ligger under rikssnittet (Kolada 2024). Stöd till elever med särskilda behov är otillräckligt enligt Skolinspektionens tillsyn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Håbo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20 elever per klass ska gälla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15 nya speciallärartjänster inrättas under 2026–2028.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handlingsplan för jämlik skola med fokus på socioekonomisk kompensation antas.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8 miljoner kronor avsätts i budget 2027 för personalförstärkning.</w:t>
      </w:r>
    </w:p>
    <w:p>
      <w:pPr>
        <w:spacing w:before="360"/>
      </w:pPr>
    </w:p>
    <w:p>
      <w:r>
        <w:t xml:space="preserve">Håbo,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Håbo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2026-07-14T00:18:02.204Z</dcterms:created>
  <dcterms:modified xsi:type="dcterms:W3CDTF">2026-07-14T00:18:02.204Z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