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Enköping kommunfullmäktige</w:t>
      </w:r>
    </w:p>
    <w:p>
      <w:pPr>
        <w:pStyle w:val="Heading1"/>
      </w:pPr>
      <w:r>
        <w:t xml:space="preserve">Demokratisk insyn i Enköpings kommuns bolag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Enköping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Revisionsrapporten 2025 visar bristande insyn i Enköpings kommuns bolag, särskilt Enköpingsbostäder och Enköping Energi. Få handlingar är offentliga.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Enköping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alla protokoll och ekonomiska rapporter från kommunala bolag ska publiceras på kommunens webbplats.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ger kommunstyrelsen i uppdrag att införa öppen budget för bolagen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minst två ledamöter från oppositionen ska ingå i varje bolagsstyrelse.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begär en årlig insynsrapport från bolagen.</w:t>
      </w:r>
    </w:p>
    <w:p>
      <w:pPr>
        <w:spacing w:before="360"/>
      </w:pPr>
    </w:p>
    <w:p>
      <w:r>
        <w:t xml:space="preserve">Enköping,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Enköping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2026-07-13T23:52:41.545Z</dcterms:created>
  <dcterms:modified xsi:type="dcterms:W3CDTF">2026-07-13T23:52:41.545Z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