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Värmdö kommunfullmäktige</w:t>
      </w:r>
    </w:p>
    <w:p>
      <w:pPr>
        <w:pStyle w:val="Heading1"/>
      </w:pPr>
      <w:r>
        <w:t xml:space="preserve">Mindre klasser och mer stöd i 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Värmdö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Skolresultaten i Värmdö varierar kraftigt mellan skolor. Kolada 2024 visar att meritvärdet skiljer sig med över 50 poäng mellan områden. Stora klasser och brist på speciallärare drabbar särskilt elever i behov av 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Värmdö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maxtak på 22 elever per klass i årskurs 1–6.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 nya speciallärare och elevassistenter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kostnadsfri läxhjälp och läromedel för alla elever.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prioritera resurser till skolor med lägst resultat.</w:t>
      </w:r>
    </w:p>
    <w:p>
      <w:pPr>
        <w:spacing w:before="360"/>
      </w:pPr>
    </w:p>
    <w:p>
      <w:r>
        <w:t xml:space="preserve">Värmdö,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Värmdö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2026-07-14T01:58:32.393Z</dcterms:created>
  <dcterms:modified xsi:type="dcterms:W3CDTF">2026-07-14T01:58:32.393Z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