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Vallentuna kommunfullmäktige</w:t>
      </w:r>
    </w:p>
    <w:p>
      <w:pPr>
        <w:pStyle w:val="Heading1"/>
      </w:pPr>
      <w:r>
        <w:t xml:space="preserve">Öppen granskning av Vallentunas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Vallentuna har flera kommunala bolag med begränsad insyn. Demokratisk ekonomi kräver öppenhet kring upphandlingar och vinster (Sveriges Kommuner och Regioner riktlinjer).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öppet.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kräver att bolagen redovisar hur de bidrar till kommunens välfärdsmål.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kommunrevisionen utökade resurser för granskning.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debatterar bolagens verksamhet i fullmäktige.</w:t>
      </w:r>
    </w:p>
    <w:p>
      <w:pPr>
        <w:spacing w:before="360"/>
      </w:pPr>
    </w:p>
    <w:p>
      <w:r>
        <w:t xml:space="preserve">Vallentuna,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2026-07-14T01:51:32.492Z</dcterms:created>
  <dcterms:modified xsi:type="dcterms:W3CDTF">2026-07-14T01:51:32.492Z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