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Täby kommunfullmäktige</w:t>
      </w:r>
    </w:p>
    <w:p>
      <w:pPr>
        <w:pStyle w:val="Heading1"/>
      </w:pPr>
      <w:r>
        <w:t xml:space="preserve">Minska antalet elever per lärare i grundskolan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Täby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I flera Täbyskolor överskrider klasserna 25 elever (Skolverket 2024). Mindre klasser ger bättre stöd till elever i behov och höjer kunskapsresultaten långsiktigt.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Täby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Täby kommunfullmäktige beslutar att max 22 elever per klass ska gälla i årskurs 1–6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ytterligare lärarresurser ska tillföras skolor med socioekonomiskt svagare elevunderlag.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uppföljning av klassstorlekarna ska redovisas årligen för utbildningsnämnden.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lärarnas arbetsmiljö ska beaktas vid resursfördelningen.</w:t>
      </w:r>
    </w:p>
    <w:p>
      <w:pPr>
        <w:spacing w:before="360"/>
      </w:pPr>
    </w:p>
    <w:p>
      <w:r>
        <w:t xml:space="preserve">Täby,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Täby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2026-07-14T01:44:24.888Z</dcterms:created>
  <dcterms:modified xsi:type="dcterms:W3CDTF">2026-07-14T01:44:24.888Z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