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Solna kommunfullmäktige</w:t>
      </w:r>
    </w:p>
    <w:p>
      <w:pPr>
        <w:pStyle w:val="Heading1"/>
      </w:pPr>
      <w:r>
        <w:t xml:space="preserve">Mindre klasser och jämlik skola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Solna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Skolresultaten i Solna är ojämna mellan stadsdelar enligt Skolverket 2025. Stora klasser försvårar stöd till elever med särskilda behov. Minskade klasstorlekar är en förutsättning för en jämlik skola.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Solna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Solna kommunfullmäktige beslutar att max 20 elever per klass i årskurs 1–3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Solna kommunfullmäktige beslutar att avsätta extra resurser till skolor i områden med lägre meritvärden.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Solna kommunfullmäktige beslutar att införa tvålärarsystem i minst hälften av grundskolornas klasser.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Solna kommunfullmäktige beslutar att ge utbildningsnämnden i uppdrag att följa upp klasstorlekarnas effekt på kunskapsresultat.</w:t>
      </w:r>
    </w:p>
    <w:p>
      <w:pPr>
        <w:spacing w:before="360"/>
      </w:pPr>
    </w:p>
    <w:p>
      <w:r>
        <w:t xml:space="preserve">Solna,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Solna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2026-07-14T01:22:44.116Z</dcterms:created>
  <dcterms:modified xsi:type="dcterms:W3CDTF">2026-07-14T01:22:44.116Z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