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Österåker kommunfullmäktige</w:t>
      </w:r>
    </w:p>
    <w:p>
      <w:pPr>
        <w:pStyle w:val="Heading1"/>
      </w:pPr>
      <w:r>
        <w:t xml:space="preserve">Fossilfri kollektivtrafik till Stockholm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Österåker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Österåkersbor pendlar med buss eller bil till Stockholm. SL:s linjer 620 och 621 är inte fullt elektrifierade. Kommunen kan bidra till klimatmål genom krav på fossilfri trafik och utökad turtäthet.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Österåker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alla SL-linjer från Åkersberga ska vara elektrifierade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öka kommunens bidrag till kollektivtrafiken med 3 miljoner kronor årligen för fler avgångar.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gratis kollektivtrafik för ungdomar upp till 19 år inom kommunen.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utsläppsminskning från pendling i miljöredovisningen.</w:t>
      </w:r>
    </w:p>
    <w:p>
      <w:pPr>
        <w:spacing w:before="360"/>
      </w:pPr>
    </w:p>
    <w:p>
      <w:r>
        <w:t xml:space="preserve">Österåker,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Österåker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2026-07-14T02:12:49.377Z</dcterms:created>
  <dcterms:modified xsi:type="dcterms:W3CDTF">2026-07-14T02:12:49.377Z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