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Österåker kommunfullmäktige</w:t>
      </w:r>
    </w:p>
    <w:p>
      <w:pPr>
        <w:pStyle w:val="Heading1"/>
      </w:pPr>
      <w:r>
        <w:t xml:space="preserve">Minska klasstorlekarna i grundskolan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Österåker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Kolada 2024 visar att genomsnittlig klasstorlek i årskurs 4–6 i Österåker är 24,8 elever, över länsgenomsnittet. Stora klasser försämrar stöd till elever med särskilda behov och bidrar till ojämlika resultat. Mindre klasser är en prioriterad jämlikhetsåtgärd.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Österåker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max 22 elever per klass i årskurs 1–6 ska gälla från höstterminen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avsätta 8 miljoner kronor årligen i budgeten för fler lärare och lokaler.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prioritera skolor i områden med lägst skolresultat vid resursfördelning.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årligen redovisa klasstorleksstatistik till utbildningsnämnden.</w:t>
      </w:r>
    </w:p>
    <w:p>
      <w:pPr>
        <w:spacing w:before="360"/>
      </w:pPr>
    </w:p>
    <w:p>
      <w:r>
        <w:t xml:space="preserve">Österåker,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Österåker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2026-07-14T02:12:49.356Z</dcterms:created>
  <dcterms:modified xsi:type="dcterms:W3CDTF">2026-07-14T02:12:49.356Z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